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50" w:before="0"/>
        <w:jc w:val="center"/>
      </w:pPr>
      <w:r>
        <w:rPr>
          <w:rFonts w:ascii="Calibri" w:cs="Calibri" w:eastAsia="Calibri" w:hAnsi="Calibri"/>
          <w:b/>
          <w:bCs/>
          <w:color w:val="1A3A5C"/>
          <w:sz w:val="56"/>
          <w:szCs w:val="56"/>
        </w:rPr>
        <w:t xml:space="preserve">SHRINIVAS SHAH</w:t>
      </w:r>
    </w:p>
    <w:p>
      <w:pPr>
        <w:spacing w:after="60" w:before="0"/>
        <w:jc w:val="center"/>
      </w:pPr>
      <w:r>
        <w:rPr>
          <w:rFonts w:ascii="Calibri" w:cs="Calibri" w:eastAsia="Calibri" w:hAnsi="Calibri"/>
          <w:i/>
          <w:iCs/>
          <w:color w:val="2E75B6"/>
          <w:sz w:val="19"/>
          <w:szCs w:val="19"/>
        </w:rPr>
        <w:t xml:space="preserve">Senior Full Stack Engineer  ·  TypeScript  ·  React &amp; Next.js  ·  API Architecture  ·  Performance &amp; Accessibility</w:t>
      </w:r>
    </w:p>
    <w:p>
      <w:pPr>
        <w:spacing w:after="0" w:before="0"/>
        <w:jc w:val="center"/>
      </w:pPr>
      <w:r>
        <w:rPr>
          <w:rFonts w:ascii="Calibri" w:cs="Calibri" w:eastAsia="Calibri" w:hAnsi="Calibri"/>
          <w:color w:val="4A4A4A"/>
          <w:sz w:val="18"/>
          <w:szCs w:val="18"/>
        </w:rPr>
        <w:t xml:space="preserve">Mumbai / Pune  |  +91 97025 19001  |  shrinivasshah05@gmail.com  |  </w:t>
      </w:r>
      <w:hyperlink w:history="1" r:id="rId9hluhoc3accbhqstasua5">
        <w:r>
          <w:rPr>
            <w:rFonts w:ascii="Calibri" w:cs="Calibri" w:eastAsia="Calibri" w:hAnsi="Calibri"/>
            <w:color w:val="2E75B6"/>
            <w:sz w:val="18"/>
            <w:szCs w:val="18"/>
            <w:u w:val="single"/>
          </w:rPr>
          <w:t xml:space="preserve">LinkedIn</w:t>
        </w:r>
      </w:hyperlink>
      <w:r>
        <w:rPr>
          <w:rFonts w:ascii="Calibri" w:cs="Calibri" w:eastAsia="Calibri" w:hAnsi="Calibri"/>
          <w:color w:val="4A4A4A"/>
          <w:sz w:val="18"/>
          <w:szCs w:val="18"/>
        </w:rPr>
        <w:t xml:space="preserve">  |  </w:t>
      </w:r>
      <w:hyperlink w:history="1" r:id="rIdd2ut36nvjvdwpvnj6-bqw">
        <w:r>
          <w:rPr>
            <w:rFonts w:ascii="Calibri" w:cs="Calibri" w:eastAsia="Calibri" w:hAnsi="Calibri"/>
            <w:color w:val="2E75B6"/>
            <w:sz w:val="18"/>
            <w:szCs w:val="18"/>
            <w:u w:val="single"/>
          </w:rPr>
          <w:t xml:space="preserve">GitHub</w:t>
        </w:r>
      </w:hyperlink>
    </w:p>
    <w:p>
      <w:pPr>
        <w:spacing w:after="40" w:before="0"/>
      </w:pPr>
      <w:r>
        <w:t xml:space="preserve"/>
      </w:r>
    </w:p>
    <w:p>
      <w:pPr>
        <w:pBdr>
          <w:bottom w:val="single" w:color="2E75B6" w:sz="12" w:space="1"/>
        </w:pBdr>
        <w:spacing w:after="120" w:before="0"/>
      </w:pPr>
      <w:r>
        <w:t xml:space="preserve"/>
      </w:r>
    </w:p>
    <w:p>
      <w:pPr>
        <w:pBdr>
          <w:bottom w:val="single" w:color="2E75B6" w:sz="6" w:space="4"/>
        </w:pBdr>
        <w:spacing w:after="80" w:before="220"/>
      </w:pPr>
      <w:r>
        <w:rPr>
          <w:rFonts w:ascii="Calibri" w:cs="Calibri" w:eastAsia="Calibri" w:hAnsi="Calibri"/>
          <w:b/>
          <w:bCs/>
          <w:color w:val="1A3A5C"/>
          <w:spacing w:val="40"/>
          <w:sz w:val="22"/>
          <w:szCs w:val="22"/>
        </w:rPr>
        <w:t xml:space="preserve">PROFESSIONAL SUMMARY</w:t>
      </w:r>
    </w:p>
    <w:p>
      <w:pPr>
        <w:spacing w:after="40" w:before="0"/>
      </w:pPr>
      <w:r>
        <w:t xml:space="preserve"/>
      </w:r>
    </w:p>
    <w:p>
      <w:pPr>
        <w:spacing w:after="0" w:before="0" w:line="288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Senior Full Stack Engineer with 8+ years of experience owning end-to-end delivery of high-performance web applications — from data modeling and API design through to pixel-perfect, accessible frontends. Deep expertise in TypeScript-first development across React, Next.js, and Node.js, with a strong track record in headless / Server-Driven UI architectures, edge performance optimization, and WCAG AA compliance. Proven ability to translate ambitious creative visions into scalable, maintainable systems that measurably move product metrics. Thrives in remote, async-first distributed teams.</w:t>
      </w:r>
    </w:p>
    <w:p>
      <w:pPr>
        <w:spacing w:after="40" w:before="0"/>
      </w:pPr>
      <w:r>
        <w:t xml:space="preserve"/>
      </w:r>
    </w:p>
    <w:p>
      <w:pPr>
        <w:pBdr>
          <w:bottom w:val="single" w:color="2E75B6" w:sz="6" w:space="4"/>
        </w:pBdr>
        <w:spacing w:after="80" w:before="220"/>
      </w:pPr>
      <w:r>
        <w:rPr>
          <w:rFonts w:ascii="Calibri" w:cs="Calibri" w:eastAsia="Calibri" w:hAnsi="Calibri"/>
          <w:b/>
          <w:bCs/>
          <w:color w:val="1A3A5C"/>
          <w:spacing w:val="40"/>
          <w:sz w:val="22"/>
          <w:szCs w:val="22"/>
        </w:rPr>
        <w:t xml:space="preserve">COMMUNITY, SPEAKING &amp; OPEN SOURCE</w:t>
      </w:r>
    </w:p>
    <w:p>
      <w:pPr>
        <w:spacing w:after="50" w:before="0"/>
      </w:pPr>
      <w:r>
        <w:t xml:space="preserve"/>
      </w:r>
    </w:p>
    <w:tbl>
      <w:tblPr>
        <w:tblW w:type="dxa" w:w="10368"/>
        <w:tblBorders>
          <w:top w:val="single" w:color="D4A017" w:sz="8"/>
          <w:left w:val="single" w:color="D4A017" w:sz="18"/>
          <w:bottom w:val="single" w:color="D4A017" w:sz="4"/>
          <w:right w:val="none"/>
          <w:insideH w:val="single" w:color="auto" w:sz="4"/>
          <w:insideV w:val="single" w:color="auto" w:sz="4"/>
        </w:tblBorders>
      </w:tblPr>
      <w:tblGrid>
        <w:gridCol w:w="10368"/>
      </w:tblGrid>
      <w:tr>
        <w:tc>
          <w:tcPr>
            <w:tcW w:type="dxa" w:w="10368"/>
            <w:shd w:fill="FFFBF0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D4A017"/>
                <w:sz w:val="20"/>
                <w:szCs w:val="20"/>
              </w:rPr>
              <w:t xml:space="preserve">★  </w:t>
            </w:r>
            <w:r>
              <w:rPr>
                <w:rFonts w:ascii="Calibri" w:cs="Calibri" w:eastAsia="Calibri" w:hAnsi="Calibri"/>
                <w:b/>
                <w:bCs/>
                <w:color w:val="111111"/>
                <w:sz w:val="19"/>
                <w:szCs w:val="19"/>
              </w:rPr>
              <w:t xml:space="preserve">Founder &amp; Organizer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 of </w:t>
            </w:r>
            <w:r>
              <w:rPr>
                <w:rFonts w:ascii="Calibri" w:cs="Calibri" w:eastAsia="Calibri" w:hAnsi="Calibri"/>
                <w:b/>
                <w:bCs/>
                <w:color w:val="1A3A5C"/>
                <w:sz w:val="19"/>
                <w:szCs w:val="19"/>
              </w:rPr>
              <w:t xml:space="preserve">JS India Community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 (Mumbai / Pune) — monthly engineering meetups for 200+ developers.</w:t>
            </w:r>
          </w:p>
          <w:p>
            <w:pPr>
              <w:spacing w:after="60" w:before="0"/>
            </w:pPr>
            <w:r>
              <w:rPr>
                <w:rFonts w:ascii="Calibri" w:cs="Calibri" w:eastAsia="Calibri" w:hAnsi="Calibri"/>
                <w:b/>
                <w:bCs/>
                <w:color w:val="D4A017"/>
                <w:sz w:val="20"/>
                <w:szCs w:val="20"/>
              </w:rPr>
              <w:t xml:space="preserve">★  </w:t>
            </w:r>
            <w:r>
              <w:rPr>
                <w:rFonts w:ascii="Calibri" w:cs="Calibri" w:eastAsia="Calibri" w:hAnsi="Calibri"/>
                <w:b/>
                <w:bCs/>
                <w:color w:val="111111"/>
                <w:sz w:val="19"/>
                <w:szCs w:val="19"/>
              </w:rPr>
              <w:t xml:space="preserve">Featured Speaker at Google DevFest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 and </w:t>
            </w:r>
            <w:r>
              <w:rPr>
                <w:rFonts w:ascii="Calibri" w:cs="Calibri" w:eastAsia="Calibri" w:hAnsi="Calibri"/>
                <w:b/>
                <w:bCs/>
                <w:color w:val="111111"/>
                <w:sz w:val="19"/>
                <w:szCs w:val="19"/>
              </w:rPr>
              <w:t xml:space="preserve">Nasdaq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 on frontend reactivity and web performance architectures.</w:t>
            </w:r>
          </w:p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D4A017"/>
                <w:sz w:val="20"/>
                <w:szCs w:val="20"/>
              </w:rPr>
              <w:t xml:space="preserve">★  </w:t>
            </w:r>
            <w:r>
              <w:rPr>
                <w:rFonts w:ascii="Calibri" w:cs="Calibri" w:eastAsia="Calibri" w:hAnsi="Calibri"/>
                <w:b/>
                <w:bCs/>
                <w:color w:val="111111"/>
                <w:sz w:val="19"/>
                <w:szCs w:val="19"/>
              </w:rPr>
              <w:t xml:space="preserve">Open Source: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 Designed and deployed the ecosystem website for </w:t>
            </w:r>
            <w:r>
              <w:rPr>
                <w:rFonts w:ascii="Calibri" w:cs="Calibri" w:eastAsia="Calibri" w:hAnsi="Calibri"/>
                <w:b/>
                <w:bCs/>
                <w:color w:val="1A3A5C"/>
                <w:sz w:val="19"/>
                <w:szCs w:val="19"/>
              </w:rPr>
              <w:t xml:space="preserve">Shardeum.org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, an EVM-compatible Layer 1 blockchain.</w:t>
            </w:r>
          </w:p>
        </w:tc>
      </w:tr>
    </w:tbl>
    <w:p>
      <w:pPr>
        <w:spacing w:after="50" w:before="0"/>
      </w:pPr>
      <w:r>
        <w:t xml:space="preserve"/>
      </w:r>
    </w:p>
    <w:p>
      <w:pPr>
        <w:pBdr>
          <w:bottom w:val="single" w:color="2E75B6" w:sz="6" w:space="4"/>
        </w:pBdr>
        <w:spacing w:after="80" w:before="220"/>
      </w:pPr>
      <w:r>
        <w:rPr>
          <w:rFonts w:ascii="Calibri" w:cs="Calibri" w:eastAsia="Calibri" w:hAnsi="Calibri"/>
          <w:b/>
          <w:bCs/>
          <w:color w:val="1A3A5C"/>
          <w:spacing w:val="40"/>
          <w:sz w:val="22"/>
          <w:szCs w:val="22"/>
        </w:rPr>
        <w:t xml:space="preserve">PROFESSIONAL EXPERIENCE</w:t>
      </w:r>
    </w:p>
    <w:p>
      <w:pPr>
        <w:spacing w:after="60" w:before="0"/>
      </w:pPr>
      <w:r>
        <w:t xml:space="preserve"/>
      </w:r>
    </w:p>
    <w:tbl>
      <w:tblPr>
        <w:tblW w:type="dxa" w:w="10368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280"/>
        <w:gridCol w:w="7588"/>
        <w:gridCol w:w="2500"/>
      </w:tblGrid>
      <w:tr>
        <w:tc>
          <w:tcPr>
            <w:tcW w:type="dxa" w:w="280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</w:pPr>
            <w:r>
              <w:drawing>
                <wp:inline distT="0" distB="0" distL="0" distR="0">
                  <wp:extent cx="171450" cy="1714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588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11111"/>
                <w:sz w:val="21"/>
                <w:szCs w:val="21"/>
              </w:rPr>
              <w:t xml:space="preserve">Engineering Lead — SE III</w:t>
            </w:r>
            <w:r>
              <w:rPr>
                <w:rFonts w:ascii="Calibri" w:cs="Calibri" w:eastAsia="Calibri" w:hAnsi="Calibri"/>
                <w:sz w:val="19"/>
                <w:szCs w:val="19"/>
              </w:rPr>
              <w:t xml:space="preserve">   </w:t>
            </w:r>
            <w:r>
              <w:rPr>
                <w:rFonts w:ascii="Calibri" w:cs="Calibri" w:eastAsia="Calibri" w:hAnsi="Calibri"/>
                <w:b/>
                <w:bCs/>
                <w:color w:val="2E75B6"/>
                <w:sz w:val="19"/>
                <w:szCs w:val="19"/>
              </w:rPr>
              <w:t xml:space="preserve">Granicus</w:t>
            </w:r>
          </w:p>
        </w:tc>
        <w:tc>
          <w:tcPr>
            <w:tcW w:type="dxa" w:w="2500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888888"/>
                <w:sz w:val="17"/>
                <w:szCs w:val="17"/>
              </w:rPr>
              <w:t xml:space="preserve">Mar 2024 – Present</w:t>
            </w:r>
            <w:r>
              <w:rPr>
                <w:rFonts w:ascii="Calibri" w:cs="Calibri" w:eastAsia="Calibri" w:hAnsi="Calibri"/>
                <w:color w:val="888888"/>
                <w:sz w:val="17"/>
                <w:szCs w:val="17"/>
              </w:rPr>
              <w:t xml:space="preserve">  |  Remote</w:t>
            </w:r>
          </w:p>
        </w:tc>
      </w:tr>
    </w:tbl>
    <w:p>
      <w:pPr>
        <w:spacing w:after="30" w:before="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Owned end-to-end delivery of the frontend modernization initiative, migrating the legacy React 16 / jQuery stack to React 18 with a comprehensive TypeScript overhaul across the entire codebase — eliminating runtime type errors and accelerating safe, confident feature iteration.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Architected a full-stack Server-Driven UI (SDUI) system backed by GraphQL, enabling editorial and product teams to publish and configure UI surfaces independently — a headless-CMS-style pattern that dramatically scaled feature delivery without engineering bottlenecks.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Drove the platform from zero to WCAG AA compliance by engineering automated end-to-end accessibility testing frameworks integrated into both browser and CI pipelines, replacing error-prone manual review and embedding accessibility into the development workflow.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Spearheaded the build system migration from Webpack to Vite and adopted Vitest across the test suite, slashing CI/CD pipeline run times and tightening developer feedback loops — raising overall team velocity.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Engineered a reusable, concurrent large-file upload engine in Golang with custom frontend libraries, adopted across multiple product teams and replacing fragile legacy dependencies for government enterprise clients.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Built a graph-powered LLM chatbot using LangChain and Neo4j that enabled users to self-navigate complex platform features, reducing support intervention and proving the viability of AI-assisted UX at enterprise scale.</w:t>
      </w:r>
    </w:p>
    <w:p>
      <w:pPr>
        <w:spacing w:after="80" w:before="0"/>
      </w:pPr>
      <w:r>
        <w:t xml:space="preserve"/>
      </w:r>
    </w:p>
    <w:tbl>
      <w:tblPr>
        <w:tblW w:type="dxa" w:w="10368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280"/>
        <w:gridCol w:w="7588"/>
        <w:gridCol w:w="2500"/>
      </w:tblGrid>
      <w:tr>
        <w:tc>
          <w:tcPr>
            <w:tcW w:type="dxa" w:w="280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</w:pPr>
            <w:r>
              <w:drawing>
                <wp:inline distT="0" distB="0" distL="0" distR="0">
                  <wp:extent cx="171450" cy="1714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588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11111"/>
                <w:sz w:val="21"/>
                <w:szCs w:val="21"/>
              </w:rPr>
              <w:t xml:space="preserve">Senior Software Engineering Lead</w:t>
            </w:r>
            <w:r>
              <w:rPr>
                <w:rFonts w:ascii="Calibri" w:cs="Calibri" w:eastAsia="Calibri" w:hAnsi="Calibri"/>
                <w:sz w:val="19"/>
                <w:szCs w:val="19"/>
              </w:rPr>
              <w:t xml:space="preserve">   </w:t>
            </w:r>
            <w:r>
              <w:rPr>
                <w:rFonts w:ascii="Calibri" w:cs="Calibri" w:eastAsia="Calibri" w:hAnsi="Calibri"/>
                <w:b/>
                <w:bCs/>
                <w:color w:val="2E75B6"/>
                <w:sz w:val="19"/>
                <w:szCs w:val="19"/>
              </w:rPr>
              <w:t xml:space="preserve">Wifi Dabba (YC W'17)</w:t>
            </w:r>
          </w:p>
        </w:tc>
        <w:tc>
          <w:tcPr>
            <w:tcW w:type="dxa" w:w="2500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888888"/>
                <w:sz w:val="17"/>
                <w:szCs w:val="17"/>
              </w:rPr>
              <w:t xml:space="preserve">Nov 2022 – Mar 2024</w:t>
            </w:r>
            <w:r>
              <w:rPr>
                <w:rFonts w:ascii="Calibri" w:cs="Calibri" w:eastAsia="Calibri" w:hAnsi="Calibri"/>
                <w:color w:val="888888"/>
                <w:sz w:val="17"/>
                <w:szCs w:val="17"/>
              </w:rPr>
              <w:t xml:space="preserve">  |  Remote</w:t>
            </w:r>
          </w:p>
        </w:tc>
      </w:tr>
    </w:tbl>
    <w:p>
      <w:pPr>
        <w:spacing w:after="30" w:before="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Led a team of 4 to architect and ship platforms from scratch using Next.js 14 and TypeScript, deployed to edge infrastructure with sub-100ms client-perceived latency and a 97/100 Lighthouse performance score — demonstrating real-world impact of edge-first architecture.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Redesigned MongoDB schemas and optimized complex OLAP query patterns for the Dabba Dashboard, cutting data retrieval latency by 65% within existing infrastructure — a 10x improvement on a core product metric.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Built a full observability stack (ClickHouse, Grafana, Prometheus) and a RabbitMQ pipeline to stream real-time IoT state changes via Kubernetes, giving the team the visibility needed to ship and iterate with confidence.</w:t>
      </w:r>
    </w:p>
    <w:p>
      <w:pPr>
        <w:spacing w:after="80" w:before="0"/>
      </w:pPr>
      <w:r>
        <w:t xml:space="preserve"/>
      </w:r>
    </w:p>
    <w:tbl>
      <w:tblPr>
        <w:tblW w:type="dxa" w:w="10368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280"/>
        <w:gridCol w:w="7588"/>
        <w:gridCol w:w="2500"/>
      </w:tblGrid>
      <w:tr>
        <w:tc>
          <w:tcPr>
            <w:tcW w:type="dxa" w:w="280"/>
            <w:tcBorders>
              <w:top w:val="none"/>
              <w:left w:val="none"/>
              <w:bottom w:val="none"/>
              <w:right w:val="none"/>
            </w:tcBorders>
            <w:tcMar>
              <w:top w:type="dxa" w:w="40"/>
              <w:left w:type="dxa" w:w="0"/>
              <w:bottom w:type="dxa" w:w="0"/>
              <w:right w:type="dxa" w:w="80"/>
            </w:tcMar>
            <w:vAlign w:val="center"/>
          </w:tcPr>
          <w:p>
            <w:pPr>
              <w:spacing w:after="0" w:before="0"/>
            </w:pPr>
            <w:r>
              <w:drawing>
                <wp:inline distT="0" distB="0" distL="0" distR="0">
                  <wp:extent cx="171450" cy="171450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588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spacing w:after="0" w:before="0"/>
            </w:pPr>
            <w:r>
              <w:rPr>
                <w:rFonts w:ascii="Calibri" w:cs="Calibri" w:eastAsia="Calibri" w:hAnsi="Calibri"/>
                <w:b/>
                <w:bCs/>
                <w:color w:val="111111"/>
                <w:sz w:val="21"/>
                <w:szCs w:val="21"/>
              </w:rPr>
              <w:t xml:space="preserve">Software Engineer</w:t>
            </w:r>
            <w:r>
              <w:rPr>
                <w:rFonts w:ascii="Calibri" w:cs="Calibri" w:eastAsia="Calibri" w:hAnsi="Calibri"/>
                <w:sz w:val="19"/>
                <w:szCs w:val="19"/>
              </w:rPr>
              <w:t xml:space="preserve">   </w:t>
            </w:r>
            <w:r>
              <w:rPr>
                <w:rFonts w:ascii="Calibri" w:cs="Calibri" w:eastAsia="Calibri" w:hAnsi="Calibri"/>
                <w:b/>
                <w:bCs/>
                <w:color w:val="2E75B6"/>
                <w:sz w:val="19"/>
                <w:szCs w:val="19"/>
              </w:rPr>
              <w:t xml:space="preserve">Mudrex (YC W'19)</w:t>
            </w:r>
          </w:p>
        </w:tc>
        <w:tc>
          <w:tcPr>
            <w:tcW w:type="dxa" w:w="2500"/>
            <w:tcBorders>
              <w:top w:val="none"/>
              <w:left w:val="none"/>
              <w:bottom w:val="none"/>
              <w:right w:val="none"/>
            </w:tcBorders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Calibri" w:cs="Calibri" w:eastAsia="Calibri" w:hAnsi="Calibri"/>
                <w:i/>
                <w:iCs/>
                <w:color w:val="888888"/>
                <w:sz w:val="17"/>
                <w:szCs w:val="17"/>
              </w:rPr>
              <w:t xml:space="preserve">Aug 2021 – Nov 2022</w:t>
            </w:r>
            <w:r>
              <w:rPr>
                <w:rFonts w:ascii="Calibri" w:cs="Calibri" w:eastAsia="Calibri" w:hAnsi="Calibri"/>
                <w:color w:val="888888"/>
                <w:sz w:val="17"/>
                <w:szCs w:val="17"/>
              </w:rPr>
              <w:t xml:space="preserve">  |  Remote</w:t>
            </w:r>
          </w:p>
        </w:tc>
      </w:tr>
    </w:tbl>
    <w:p>
      <w:pPr>
        <w:spacing w:after="30" w:before="0"/>
      </w:pPr>
      <w:r>
        <w:t xml:space="preserve"/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Achieved a perfect 100 SEO Lighthouse score through SSR-rendered static pages on a Next.js stack — a critical growth lever for a trading platform with 2M+ users, directly contributing to top-of-funnel acquisition.</w:t>
      </w:r>
    </w:p>
    <w:p>
      <w:pPr>
        <w:pStyle w:val="ListParagraph"/>
        <w:numPr>
          <w:ilvl w:val="0"/>
          <w:numId w:val="2"/>
        </w:numPr>
        <w:spacing w:after="40" w:before="40" w:line="276"/>
      </w:pPr>
      <w:r>
        <w:rPr>
          <w:rFonts w:ascii="Calibri" w:cs="Calibri" w:eastAsia="Calibri" w:hAnsi="Calibri"/>
          <w:color w:val="4A4A4A"/>
          <w:sz w:val="19"/>
          <w:szCs w:val="19"/>
        </w:rPr>
        <w:t xml:space="preserve">Architected the React Native mobile app with 60 FPS animations using Reanimated and built Flask microservices to bridge engineering and design, accelerating cross-functional delivery cycles.</w:t>
      </w:r>
    </w:p>
    <w:p>
      <w:pPr>
        <w:spacing w:after="80" w:before="0"/>
      </w:pPr>
      <w:r>
        <w:t xml:space="preserve"/>
      </w:r>
    </w:p>
    <w:p>
      <w:pPr>
        <w:pBdr>
          <w:bottom w:val="single" w:color="2E75B6" w:sz="6" w:space="4"/>
        </w:pBdr>
        <w:spacing w:after="80" w:before="220"/>
      </w:pPr>
      <w:r>
        <w:rPr>
          <w:rFonts w:ascii="Calibri" w:cs="Calibri" w:eastAsia="Calibri" w:hAnsi="Calibri"/>
          <w:b/>
          <w:bCs/>
          <w:color w:val="1A3A5C"/>
          <w:spacing w:val="40"/>
          <w:sz w:val="22"/>
          <w:szCs w:val="22"/>
        </w:rPr>
        <w:t xml:space="preserve">EARLIER EXPERIENCE</w:t>
      </w:r>
    </w:p>
    <w:p>
      <w:pPr>
        <w:spacing w:after="40" w:before="0"/>
      </w:pPr>
      <w:r>
        <w:t xml:space="preserve"/>
      </w:r>
    </w:p>
    <w:p>
      <w:pPr>
        <w:spacing w:after="55" w:before="0" w:line="288"/>
      </w:pPr>
      <w:r>
        <w:drawing>
          <wp:inline distT="0" distB="0" distL="0" distR="0">
            <wp:extent cx="133350" cy="1333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b/>
          <w:bCs/>
          <w:color w:val="111111"/>
          <w:sz w:val="19"/>
          <w:szCs w:val="19"/>
        </w:rPr>
        <w:t xml:space="preserve">  AMINA Bank</w:t>
      </w:r>
      <w:r>
        <w:rPr>
          <w:rFonts w:ascii="Calibri" w:cs="Calibri" w:eastAsia="Calibri" w:hAnsi="Calibri"/>
          <w:i/>
          <w:iCs/>
          <w:color w:val="888888"/>
          <w:sz w:val="19"/>
          <w:szCs w:val="19"/>
        </w:rPr>
        <w:t xml:space="preserve">   Fullstack Engineer   Feb 2021 – Aug 2021:  </w:t>
      </w:r>
      <w:r>
        <w:rPr>
          <w:rFonts w:ascii="Calibri" w:cs="Calibri" w:eastAsia="Calibri" w:hAnsi="Calibri"/>
          <w:color w:val="4A4A4A"/>
          <w:sz w:val="19"/>
          <w:szCs w:val="19"/>
        </w:rPr>
        <w:t xml:space="preserve">Real-time Django / React portfolio analytics platform; AWS and Kubernetes orchestration.</w:t>
      </w:r>
    </w:p>
    <w:p>
      <w:pPr>
        <w:spacing w:after="55" w:before="0" w:line="288"/>
      </w:pPr>
      <w:r>
        <w:drawing>
          <wp:inline distT="0" distB="0" distL="0" distR="0">
            <wp:extent cx="133350" cy="1333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b/>
          <w:bCs/>
          <w:color w:val="111111"/>
          <w:sz w:val="19"/>
          <w:szCs w:val="19"/>
        </w:rPr>
        <w:t xml:space="preserve">  Pocketbits.in</w:t>
      </w:r>
      <w:r>
        <w:rPr>
          <w:rFonts w:ascii="Calibri" w:cs="Calibri" w:eastAsia="Calibri" w:hAnsi="Calibri"/>
          <w:i/>
          <w:iCs/>
          <w:color w:val="888888"/>
          <w:sz w:val="19"/>
          <w:szCs w:val="19"/>
        </w:rPr>
        <w:t xml:space="preserve">   Fullstack Engineer   Aug 2020 – Feb 2021:  </w:t>
      </w:r>
      <w:r>
        <w:rPr>
          <w:rFonts w:ascii="Calibri" w:cs="Calibri" w:eastAsia="Calibri" w:hAnsi="Calibri"/>
          <w:color w:val="4A4A4A"/>
          <w:sz w:val="19"/>
          <w:szCs w:val="19"/>
        </w:rPr>
        <w:t xml:space="preserve">Core WebSockets trading interface and Flask microservices for a 1M+ user crypto exchange.</w:t>
      </w:r>
    </w:p>
    <w:p>
      <w:pPr>
        <w:spacing w:after="0" w:before="0" w:line="288"/>
      </w:pPr>
      <w:r>
        <w:drawing>
          <wp:inline distT="0" distB="0" distL="0" distR="0">
            <wp:extent cx="133350" cy="1333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b/>
          <w:bCs/>
          <w:color w:val="111111"/>
          <w:sz w:val="19"/>
          <w:szCs w:val="19"/>
        </w:rPr>
        <w:t xml:space="preserve">  Appdid Infotech</w:t>
      </w:r>
      <w:r>
        <w:rPr>
          <w:rFonts w:ascii="Calibri" w:cs="Calibri" w:eastAsia="Calibri" w:hAnsi="Calibri"/>
          <w:i/>
          <w:iCs/>
          <w:color w:val="888888"/>
          <w:sz w:val="19"/>
          <w:szCs w:val="19"/>
        </w:rPr>
        <w:t xml:space="preserve">   Founding Engineer   Feb 2019 – May 2020:  </w:t>
      </w:r>
      <w:r>
        <w:rPr>
          <w:rFonts w:ascii="Calibri" w:cs="Calibri" w:eastAsia="Calibri" w:hAnsi="Calibri"/>
          <w:color w:val="4A4A4A"/>
          <w:sz w:val="19"/>
          <w:szCs w:val="19"/>
        </w:rPr>
        <w:t xml:space="preserve">Foundational Android apps and SEO-optimized web products for early-stage clients.</w:t>
      </w:r>
    </w:p>
    <w:p>
      <w:pPr>
        <w:spacing w:after="40" w:before="0"/>
      </w:pPr>
      <w:r>
        <w:t xml:space="preserve"/>
      </w:r>
    </w:p>
    <w:p>
      <w:pPr>
        <w:pBdr>
          <w:bottom w:val="single" w:color="2E75B6" w:sz="6" w:space="4"/>
        </w:pBdr>
        <w:spacing w:after="80" w:before="220"/>
      </w:pPr>
      <w:r>
        <w:rPr>
          <w:rFonts w:ascii="Calibri" w:cs="Calibri" w:eastAsia="Calibri" w:hAnsi="Calibri"/>
          <w:b/>
          <w:bCs/>
          <w:color w:val="1A3A5C"/>
          <w:spacing w:val="40"/>
          <w:sz w:val="22"/>
          <w:szCs w:val="22"/>
        </w:rPr>
        <w:t xml:space="preserve">TECHNICAL SKILLS</w:t>
      </w:r>
    </w:p>
    <w:p>
      <w:pPr>
        <w:spacing w:after="60" w:before="0"/>
      </w:pPr>
      <w:r>
        <w:t xml:space="preserve"/>
      </w:r>
    </w:p>
    <w:tbl>
      <w:tblPr>
        <w:tblW w:type="dxa" w:w="10368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2100"/>
        <w:gridCol w:w="8268"/>
      </w:tblGrid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Languages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TypeScript, JavaScript, Python, Golang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Frontend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React 18, Next.js 14, React Native, Redux Toolkit, Apollo GraphQL, Tailwind CSS, Vite, Vitest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Backend &amp; APIs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Node.js, REST API design, GraphQL, Flask, Django, Server-Driven UI (SDUI)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Databases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PostgreSQL, MongoDB, Redis, Neo4j, ClickHouse — relational &amp; non-relational modeling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Arch &amp; DevOps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Headless CMS / SDUI patterns, Edge deployment, Docker, Kubernetes, AWS (S3, SNS, CloudFront), GitHub Actions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Observability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Grafana, Prometheus, ClickHouse, RabbitMQ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Quality &amp; UX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WCAG AA, SEO optimization, Core Web Vitals, Accessibility Automation, Design Systems</w:t>
            </w:r>
          </w:p>
        </w:tc>
      </w:tr>
      <w:tr>
        <w:tc>
          <w:tcPr>
            <w:tcW w:type="dxa" w:w="2100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0"/>
              <w:bottom w:type="dxa" w:w="55"/>
              <w:right w:type="dxa" w:w="120"/>
            </w:tcMar>
          </w:tcPr>
          <w:p>
            <w:r>
              <w:rPr>
                <w:rFonts w:ascii="Calibri" w:cs="Calibri" w:eastAsia="Calibri" w:hAnsi="Calibri"/>
                <w:b/>
                <w:bCs/>
                <w:color w:val="1A3A5C"/>
                <w:sz w:val="18"/>
                <w:szCs w:val="18"/>
              </w:rPr>
              <w:t xml:space="preserve">AI / ML</w:t>
            </w:r>
          </w:p>
        </w:tc>
        <w:tc>
          <w:tcPr>
            <w:tcW w:type="dxa" w:w="8268"/>
            <w:tcBorders>
              <w:top w:val="none"/>
              <w:left w:val="none"/>
              <w:bottom w:val="none"/>
              <w:right w:val="none"/>
            </w:tcBorders>
            <w:tcMar>
              <w:top w:type="dxa" w:w="55"/>
              <w:left w:type="dxa" w:w="120"/>
              <w:bottom w:type="dxa" w:w="55"/>
              <w:right w:type="dxa" w:w="0"/>
            </w:tcMar>
          </w:tcPr>
          <w:p>
            <w:r>
              <w:rPr>
                <w:rFonts w:ascii="Calibri" w:cs="Calibri" w:eastAsia="Calibri" w:hAnsi="Calibri"/>
                <w:color w:val="4A4A4A"/>
                <w:sz w:val="18"/>
                <w:szCs w:val="18"/>
              </w:rPr>
              <w:t xml:space="preserve">LangChain, Neo4j Graph, LLM integration, RAG pipelines</w:t>
            </w:r>
          </w:p>
        </w:tc>
      </w:tr>
    </w:tbl>
    <w:p>
      <w:pPr>
        <w:spacing w:after="40" w:before="0"/>
      </w:pPr>
      <w:r>
        <w:t xml:space="preserve"/>
      </w:r>
    </w:p>
    <w:p>
      <w:pPr>
        <w:pBdr>
          <w:bottom w:val="single" w:color="2E75B6" w:sz="6" w:space="4"/>
        </w:pBdr>
        <w:spacing w:after="80" w:before="220"/>
      </w:pPr>
      <w:r>
        <w:rPr>
          <w:rFonts w:ascii="Calibri" w:cs="Calibri" w:eastAsia="Calibri" w:hAnsi="Calibri"/>
          <w:b/>
          <w:bCs/>
          <w:color w:val="1A3A5C"/>
          <w:spacing w:val="40"/>
          <w:sz w:val="22"/>
          <w:szCs w:val="22"/>
        </w:rPr>
        <w:t xml:space="preserve">EDUCATION</w:t>
      </w:r>
    </w:p>
    <w:p>
      <w:pPr>
        <w:spacing w:after="40" w:before="0"/>
      </w:pPr>
      <w:r>
        <w:t xml:space="preserve"/>
      </w:r>
    </w:p>
    <w:tbl>
      <w:tblPr>
        <w:tblW w:type="dxa" w:w="10368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8168"/>
        <w:gridCol w:w="2200"/>
      </w:tblGrid>
      <w:tr>
        <w:tc>
          <w:tcPr>
            <w:tcW w:type="dxa" w:w="8168"/>
            <w:tcBorders>
              <w:top w:val="none"/>
              <w:left w:val="none"/>
              <w:bottom w:val="none"/>
              <w:right w:val="none"/>
            </w:tcBorders>
          </w:tcPr>
          <w:p>
            <w:r>
              <w:rPr>
                <w:rFonts w:ascii="Calibri" w:cs="Calibri" w:eastAsia="Calibri" w:hAnsi="Calibri"/>
                <w:b/>
                <w:bCs/>
                <w:color w:val="111111"/>
                <w:sz w:val="19"/>
                <w:szCs w:val="19"/>
              </w:rPr>
              <w:t xml:space="preserve">B.Tech in Information Technology</w:t>
            </w:r>
            <w:r>
              <w:rPr>
                <w:rFonts w:ascii="Calibri" w:cs="Calibri" w:eastAsia="Calibri" w:hAnsi="Calibri"/>
                <w:color w:val="4A4A4A"/>
                <w:sz w:val="19"/>
                <w:szCs w:val="19"/>
              </w:rPr>
              <w:t xml:space="preserve">   D.Y. Patil University</w:t>
            </w:r>
          </w:p>
        </w:tc>
        <w:tc>
          <w:tcPr>
            <w:tcW w:type="dxa" w:w="220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jc w:val="right"/>
            </w:pPr>
            <w:r>
              <w:rPr>
                <w:rFonts w:ascii="Calibri" w:cs="Calibri" w:eastAsia="Calibri" w:hAnsi="Calibri"/>
                <w:i/>
                <w:iCs/>
                <w:color w:val="888888"/>
                <w:sz w:val="18"/>
                <w:szCs w:val="18"/>
              </w:rPr>
              <w:t xml:space="preserve">2016 – 2020</w:t>
            </w:r>
          </w:p>
        </w:tc>
      </w:tr>
    </w:tbl>
    <w:p>
      <w:pPr>
        <w:spacing w:after="30" w:before="0"/>
      </w:pPr>
      <w:r>
        <w:t xml:space="preserve"/>
      </w:r>
    </w:p>
    <w:sectPr>
      <w:pgSz w:w="12240" w:h="15840" w:orient="portrait"/>
      <w:pgMar w:top="900" w:right="936" w:bottom="900" w:left="936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▪"/>
      <w:lvlJc w:val="left"/>
      <w:pPr>
        <w:ind w:left="360" w:hanging="280"/>
      </w:pPr>
      <w:rPr>
        <w:color w:val="2E75B6"/>
        <w:sz w:val="18"/>
        <w:szCs w:val="18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9hluhoc3accbhqstasua5" Type="http://schemas.openxmlformats.org/officeDocument/2006/relationships/hyperlink" Target="https://linkedin.com/in/shrinivasshah" TargetMode="External"/><Relationship Id="rIdd2ut36nvjvdwpvnj6-bqw" Type="http://schemas.openxmlformats.org/officeDocument/2006/relationships/hyperlink" Target="https://github.com/shrinivasshah" TargetMode="External"/><Relationship Id="rId7" Type="http://schemas.openxmlformats.org/officeDocument/2006/relationships/image" Target="media/a1d52995998875d8d6fe469989cd596fe29f64b0.png"/><Relationship Id="rId8" Type="http://schemas.openxmlformats.org/officeDocument/2006/relationships/image" Target="media/b0a7ab9ce66f2313197875d2dc4c169b4d6af2e5.png"/><Relationship Id="rId9" Type="http://schemas.openxmlformats.org/officeDocument/2006/relationships/image" Target="media/2ab98c5b0943cdc9f586b97bf90f36848b24d581.png"/><Relationship Id="rId10" Type="http://schemas.openxmlformats.org/officeDocument/2006/relationships/image" Target="media/d6d457041722c30463dfbd6f288ec3646463ae80.png"/><Relationship Id="rId11" Type="http://schemas.openxmlformats.org/officeDocument/2006/relationships/image" Target="media/79a0195d0398fd4fc321b7611bc140b2bb0b2b10.png"/><Relationship Id="rId12" Type="http://schemas.openxmlformats.org/officeDocument/2006/relationships/image" Target="media/f5f91ea0bf65c02a69b083f1d3b382e243625a59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2026-05-25T08:59:49.502Z</dcterms:created>
  <dcterms:modified xsi:type="dcterms:W3CDTF">2026-05-25T08:59:49.515Z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